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eastAsia="zh-CN"/>
        </w:rPr>
        <w:t>惠</w:t>
      </w:r>
      <w:r>
        <w:rPr>
          <w:rFonts w:hint="eastAsia" w:ascii="仿宋_GB2312" w:hAnsi="仿宋_GB2312" w:eastAsia="仿宋_GB2312" w:cs="仿宋_GB2312"/>
          <w:sz w:val="32"/>
          <w:szCs w:val="32"/>
          <w:lang w:val="en-US" w:eastAsia="zh-CN"/>
        </w:rPr>
        <w:t>城区</w:t>
      </w:r>
      <w:r>
        <w:rPr>
          <w:rFonts w:hint="eastAsia" w:ascii="仿宋_GB2312" w:hAnsi="仿宋_GB2312" w:eastAsia="仿宋_GB2312" w:cs="仿宋_GB2312"/>
          <w:sz w:val="32"/>
          <w:szCs w:val="32"/>
          <w:lang w:eastAsia="zh-CN"/>
        </w:rPr>
        <w:t>高新园</w:t>
      </w:r>
      <w:r>
        <w:rPr>
          <w:rFonts w:hint="eastAsia" w:ascii="仿宋_GB2312" w:hAnsi="仿宋_GB2312" w:eastAsia="仿宋_GB2312" w:cs="仿宋_GB2312"/>
          <w:sz w:val="32"/>
          <w:szCs w:val="32"/>
          <w:lang w:val="en-US" w:eastAsia="zh-CN"/>
        </w:rPr>
        <w:t>三栋中心园南部片区</w:t>
      </w:r>
      <w:r>
        <w:rPr>
          <w:rFonts w:hint="eastAsia" w:ascii="仿宋_GB2312" w:hAnsi="仿宋_GB2312" w:eastAsia="仿宋_GB2312" w:cs="仿宋_GB2312"/>
          <w:sz w:val="32"/>
          <w:szCs w:val="32"/>
        </w:rPr>
        <w:t>；</w:t>
      </w:r>
    </w:p>
    <w:p>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A-06-01-01</w:t>
      </w:r>
      <w:r>
        <w:rPr>
          <w:rFonts w:hint="eastAsia" w:ascii="仿宋_GB2312" w:hAnsi="仿宋_GB2312" w:eastAsia="仿宋_GB2312" w:cs="仿宋_GB2312"/>
          <w:sz w:val="32"/>
          <w:szCs w:val="32"/>
        </w:rPr>
        <w:t>地块；</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建设用地规划条件</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HCPB20190008</w:t>
      </w:r>
      <w:r>
        <w:rPr>
          <w:rFonts w:hint="eastAsia" w:ascii="仿宋_GB2312" w:hAnsi="仿宋_GB2312" w:eastAsia="仿宋_GB2312" w:cs="仿宋_GB2312"/>
          <w:sz w:val="32"/>
          <w:szCs w:val="32"/>
        </w:rPr>
        <w:t>）规定为准；</w:t>
      </w:r>
    </w:p>
    <w:p>
      <w:r>
        <w:rPr>
          <w:rFonts w:hint="eastAsia" w:ascii="仿宋_GB2312" w:hAnsi="仿宋_GB2312" w:eastAsia="仿宋_GB2312" w:cs="仿宋_GB2312"/>
          <w:sz w:val="32"/>
          <w:szCs w:val="32"/>
        </w:rPr>
        <w:t xml:space="preserve">  （五）宗地使用权面积为：</w:t>
      </w:r>
      <w:r>
        <w:rPr>
          <w:rFonts w:hint="eastAsia" w:ascii="仿宋_GB2312" w:hAnsi="仿宋_GB2312" w:eastAsia="仿宋_GB2312" w:cs="仿宋_GB2312"/>
          <w:sz w:val="32"/>
          <w:szCs w:val="32"/>
          <w:lang w:val="en-US" w:eastAsia="zh-CN"/>
        </w:rPr>
        <w:t>6548.33</w:t>
      </w:r>
      <w:r>
        <w:rPr>
          <w:rFonts w:hint="eastAsia" w:ascii="仿宋_GB2312" w:hAnsi="仿宋_GB2312" w:eastAsia="仿宋_GB2312" w:cs="仿宋_GB2312"/>
          <w:sz w:val="32"/>
          <w:szCs w:val="32"/>
        </w:rPr>
        <w:t>平方米；</w:t>
      </w:r>
    </w:p>
    <w:p>
      <w:pPr>
        <w:ind w:firstLine="320" w:firstLineChars="100"/>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8732</w:t>
      </w:r>
      <w:r>
        <w:rPr>
          <w:rFonts w:hint="eastAsia" w:ascii="仿宋_GB2312" w:hAnsi="仿宋_GB2312" w:eastAsia="仿宋_GB2312" w:cs="仿宋_GB2312"/>
          <w:sz w:val="32"/>
          <w:szCs w:val="32"/>
        </w:rPr>
        <w:t>平方米；</w:t>
      </w:r>
    </w:p>
    <w:p>
      <w:pPr>
        <w:ind w:firstLine="320" w:firstLineChars="100"/>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≥10479</w:t>
      </w:r>
      <w:r>
        <w:rPr>
          <w:rFonts w:hint="eastAsia" w:ascii="仿宋_GB2312" w:hAnsi="仿宋_GB2312" w:eastAsia="仿宋_GB2312" w:cs="仿宋_GB2312"/>
          <w:sz w:val="32"/>
          <w:szCs w:val="32"/>
        </w:rPr>
        <w:t>平方米；</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eastAsia="zh-CN"/>
        </w:rPr>
        <w:t>物流仓储</w:t>
      </w:r>
      <w:r>
        <w:rPr>
          <w:rFonts w:hint="eastAsia" w:ascii="仿宋_GB2312" w:hAnsi="仿宋_GB2312" w:eastAsia="仿宋_GB2312" w:cs="仿宋_GB2312"/>
          <w:sz w:val="32"/>
          <w:szCs w:val="32"/>
        </w:rPr>
        <w:t>用地；</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r>
        <w:rPr>
          <w:rFonts w:hint="eastAsia" w:ascii="仿宋_GB2312" w:hAnsi="仿宋_GB2312" w:eastAsia="仿宋_GB2312" w:cs="仿宋_GB2312"/>
          <w:sz w:val="32"/>
          <w:szCs w:val="32"/>
        </w:rPr>
        <w:t xml:space="preserve">  （十一）绿地率为:</w:t>
      </w:r>
      <w:r>
        <w:rPr>
          <w:rFonts w:hint="eastAsia" w:ascii="仿宋_GB2312" w:eastAsia="仿宋_GB2312"/>
          <w:color w:val="000000"/>
          <w:kern w:val="0"/>
          <w:sz w:val="30"/>
          <w:szCs w:val="30"/>
        </w:rPr>
        <w:t xml:space="preserve"> ≤</w:t>
      </w:r>
      <w:r>
        <w:rPr>
          <w:rFonts w:hint="eastAsia" w:ascii="仿宋_GB2312" w:hAnsi="仿宋_GB2312" w:eastAsia="仿宋_GB2312" w:cs="仿宋_GB2312"/>
          <w:sz w:val="32"/>
          <w:szCs w:val="32"/>
        </w:rPr>
        <w:t>20%;</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（十二）建筑密度为: ≤3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2000万</w:t>
      </w:r>
      <w:r>
        <w:rPr>
          <w:rFonts w:hint="eastAsia" w:ascii="仿宋_GB2312" w:hAnsi="仿宋_GB2312" w:eastAsia="仿宋_GB2312" w:cs="仿宋_GB2312"/>
          <w:sz w:val="32"/>
          <w:szCs w:val="32"/>
        </w:rPr>
        <w:t>元（含地价）；</w:t>
      </w:r>
    </w:p>
    <w:p>
      <w:pPr>
        <w:spacing w:line="60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（二）竞买人须提交惠城区发改局出具的与该宗地块规划确定的产业类型一致的优先发展产业项目文件;</w:t>
      </w:r>
    </w:p>
    <w:p>
      <w:pPr>
        <w:autoSpaceDE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（三）竞得人在用地红线内开发建设必须符合城市规划要求，必须按《</w:t>
      </w:r>
      <w:r>
        <w:rPr>
          <w:rFonts w:hint="eastAsia" w:ascii="仿宋_GB2312" w:hAnsi="仿宋" w:eastAsia="仿宋_GB2312"/>
          <w:sz w:val="32"/>
          <w:szCs w:val="32"/>
          <w:lang w:val="en-US" w:eastAsia="zh-CN"/>
        </w:rPr>
        <w:t>建设用地规划条件</w:t>
      </w:r>
      <w:r>
        <w:rPr>
          <w:rFonts w:hint="eastAsia" w:ascii="仿宋_GB2312" w:hAnsi="仿宋" w:eastAsia="仿宋_GB2312"/>
          <w:sz w:val="32"/>
          <w:szCs w:val="32"/>
        </w:rPr>
        <w:t>》（案卷编号：</w:t>
      </w:r>
      <w:r>
        <w:rPr>
          <w:rFonts w:hint="eastAsia" w:ascii="仿宋_GB2312" w:hAnsi="仿宋" w:eastAsia="仿宋_GB2312"/>
          <w:sz w:val="32"/>
          <w:szCs w:val="32"/>
          <w:lang w:val="en-US" w:eastAsia="zh-CN"/>
        </w:rPr>
        <w:t>HCPB20190008</w:t>
      </w:r>
      <w:r>
        <w:rPr>
          <w:rFonts w:hint="eastAsia" w:ascii="仿宋_GB2312" w:hAnsi="仿宋" w:eastAsia="仿宋_GB2312"/>
          <w:sz w:val="32"/>
          <w:szCs w:val="32"/>
        </w:rPr>
        <w:t>）规划控制指标要求及有关规定进行规划设计。</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eastAsia="仿宋_GB2312"/>
          <w:sz w:val="32"/>
          <w:szCs w:val="32"/>
        </w:rPr>
        <w:t>竞得人在用地红线内开发建设必须符合城市规划要求，必须按上述建设方案的要求进行规划设计</w:t>
      </w:r>
      <w:r>
        <w:rPr>
          <w:rFonts w:hint="eastAsia" w:ascii="仿宋_GB2312" w:eastAsia="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约定条件</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b w:val="0"/>
          <w:bCs w:val="0"/>
          <w:color w:val="000000"/>
          <w:kern w:val="0"/>
          <w:sz w:val="32"/>
          <w:szCs w:val="32"/>
        </w:rPr>
        <w:t>竞得人需</w:t>
      </w:r>
      <w:r>
        <w:rPr>
          <w:rFonts w:hint="eastAsia" w:ascii="仿宋_GB2312" w:hAnsi="仿宋_GB2312" w:eastAsia="仿宋_GB2312" w:cs="仿宋_GB2312"/>
          <w:b w:val="0"/>
          <w:bCs w:val="0"/>
          <w:color w:val="000000"/>
          <w:kern w:val="0"/>
          <w:sz w:val="32"/>
          <w:szCs w:val="32"/>
          <w:lang w:eastAsia="zh-CN"/>
        </w:rPr>
        <w:t>承担该地块上建筑面积≥</w:t>
      </w:r>
      <w:r>
        <w:rPr>
          <w:rFonts w:hint="eastAsia" w:ascii="仿宋_GB2312" w:hAnsi="仿宋_GB2312" w:eastAsia="仿宋_GB2312" w:cs="仿宋_GB2312"/>
          <w:b w:val="0"/>
          <w:bCs w:val="0"/>
          <w:color w:val="000000"/>
          <w:kern w:val="0"/>
          <w:sz w:val="32"/>
          <w:szCs w:val="32"/>
          <w:lang w:val="en-US" w:eastAsia="zh-CN"/>
        </w:rPr>
        <w:t>2000㎡、建筑占地面积≥500㎡的园区产业服务配套用房建设，建成后无偿移交给政府相关部门使用。</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283.5</w:t>
      </w:r>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玖佰肆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945</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443</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万</w:t>
      </w:r>
      <w:r>
        <w:rPr>
          <w:rFonts w:hint="eastAsia" w:ascii="仿宋_GB2312" w:hAnsi="仿宋_GB2312" w:eastAsia="仿宋_GB2312" w:cs="仿宋_GB2312"/>
          <w:sz w:val="32"/>
          <w:szCs w:val="32"/>
          <w:u w:val="single"/>
          <w:lang w:val="en-US" w:eastAsia="zh-CN"/>
        </w:rPr>
        <w:t>伍仟</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283.5</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（五）竞买保证金到账时间以网上挂牌交易系统颁发《保证金到账通知书》为准。</w:t>
      </w:r>
    </w:p>
    <w:p>
      <w:pPr>
        <w:ind w:left="0" w:leftChars="0" w:firstLine="217" w:firstLineChars="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217" w:firstLineChars="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bookmarkStart w:id="3" w:name="_GoBack"/>
      <w:bookmarkEnd w:id="3"/>
      <w:r>
        <w:rPr>
          <w:rFonts w:hint="eastAsia"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82A509A"/>
    <w:rsid w:val="08CC04B9"/>
    <w:rsid w:val="0A9146C8"/>
    <w:rsid w:val="0FC14B9A"/>
    <w:rsid w:val="0FED08F4"/>
    <w:rsid w:val="14EB677C"/>
    <w:rsid w:val="17311417"/>
    <w:rsid w:val="18510C91"/>
    <w:rsid w:val="1A9709DD"/>
    <w:rsid w:val="1AEE2345"/>
    <w:rsid w:val="1BA77990"/>
    <w:rsid w:val="1CC405AD"/>
    <w:rsid w:val="1E6D6470"/>
    <w:rsid w:val="248C1BCA"/>
    <w:rsid w:val="26D60318"/>
    <w:rsid w:val="27ED5E1D"/>
    <w:rsid w:val="2EFF4F87"/>
    <w:rsid w:val="30E22562"/>
    <w:rsid w:val="316A656E"/>
    <w:rsid w:val="31F23704"/>
    <w:rsid w:val="359D0CEF"/>
    <w:rsid w:val="3C995B83"/>
    <w:rsid w:val="3F9E57C9"/>
    <w:rsid w:val="46EA33FE"/>
    <w:rsid w:val="49B75817"/>
    <w:rsid w:val="53C61D5C"/>
    <w:rsid w:val="554A25F8"/>
    <w:rsid w:val="56866DDC"/>
    <w:rsid w:val="5D00395E"/>
    <w:rsid w:val="5DC51E85"/>
    <w:rsid w:val="60E50A21"/>
    <w:rsid w:val="69353F2C"/>
    <w:rsid w:val="69F51B6E"/>
    <w:rsid w:val="6A27187C"/>
    <w:rsid w:val="6B1A192E"/>
    <w:rsid w:val="6BD979AB"/>
    <w:rsid w:val="6BDC7DA2"/>
    <w:rsid w:val="6ED55099"/>
    <w:rsid w:val="6F1F3CC6"/>
    <w:rsid w:val="77044612"/>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qFormat/>
    <w:uiPriority w:val="0"/>
    <w:rPr>
      <w:color w:val="696969"/>
      <w:u w:val="single"/>
    </w:rPr>
  </w:style>
  <w:style w:type="character" w:styleId="7">
    <w:name w:val="Hyperlink"/>
    <w:basedOn w:val="5"/>
    <w:qFormat/>
    <w:uiPriority w:val="0"/>
    <w:rPr>
      <w:color w:val="696969"/>
      <w:u w:val="single"/>
    </w:rPr>
  </w:style>
  <w:style w:type="character" w:customStyle="1" w:styleId="9">
    <w:name w:val="页脚 Char"/>
    <w:basedOn w:val="5"/>
    <w:link w:val="3"/>
    <w:qFormat/>
    <w:uiPriority w:val="99"/>
    <w:rPr>
      <w:rFonts w:asciiTheme="minorHAnsi" w:hAnsiTheme="minorHAnsi" w:eastAsiaTheme="minorEastAsia" w:cstheme="minorBidi"/>
      <w:kern w:val="2"/>
      <w:sz w:val="18"/>
      <w:szCs w:val="24"/>
    </w:rPr>
  </w:style>
  <w:style w:type="character" w:customStyle="1" w:styleId="10">
    <w:name w:val="t-link52"/>
    <w:basedOn w:val="5"/>
    <w:uiPriority w:val="0"/>
  </w:style>
  <w:style w:type="character" w:customStyle="1" w:styleId="11">
    <w:name w:val="t-in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6</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2020-09-02T08:26:00Z</cp:lastPrinted>
  <dcterms:modified xsi:type="dcterms:W3CDTF">2020-10-13T08:53:36Z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